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A8F2E" w14:textId="2DB25318" w:rsidR="00940B58" w:rsidRDefault="00940B58"/>
    <w:p w14:paraId="1B1D090E" w14:textId="26319D5E" w:rsidR="00B34D36" w:rsidRPr="008B7786" w:rsidRDefault="00ED5EC2" w:rsidP="008B7786">
      <w:pPr>
        <w:jc w:val="center"/>
        <w:rPr>
          <w:b/>
          <w:bCs/>
          <w:sz w:val="28"/>
          <w:szCs w:val="28"/>
        </w:rPr>
      </w:pPr>
      <w:r w:rsidRPr="00B34D36">
        <w:rPr>
          <w:b/>
          <w:bCs/>
          <w:sz w:val="28"/>
          <w:szCs w:val="28"/>
        </w:rPr>
        <w:t>GEORREFERENCIAMENTO</w:t>
      </w:r>
    </w:p>
    <w:p w14:paraId="5B0719DA" w14:textId="7BC88DBA" w:rsidR="00ED5EC2" w:rsidRDefault="00366ABF" w:rsidP="00ED5EC2">
      <w:pPr>
        <w:jc w:val="both"/>
        <w:rPr>
          <w:sz w:val="24"/>
          <w:szCs w:val="24"/>
        </w:rPr>
      </w:pPr>
      <w:r>
        <w:rPr>
          <w:sz w:val="24"/>
          <w:szCs w:val="24"/>
        </w:rPr>
        <w:t>Nos termos do artigo</w:t>
      </w:r>
      <w:r w:rsidRPr="00366ABF">
        <w:rPr>
          <w:sz w:val="24"/>
          <w:szCs w:val="24"/>
        </w:rPr>
        <w:t xml:space="preserve"> 5</w:t>
      </w:r>
      <w:r w:rsidR="00057940">
        <w:rPr>
          <w:sz w:val="24"/>
          <w:szCs w:val="24"/>
        </w:rPr>
        <w:t>07</w:t>
      </w:r>
      <w:r>
        <w:rPr>
          <w:sz w:val="24"/>
          <w:szCs w:val="24"/>
        </w:rPr>
        <w:t xml:space="preserve"> do Código de Normas da Egrégia Corregedoria do Estado do Espírito Santo,</w:t>
      </w:r>
      <w:r w:rsidRPr="00366ABF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366ABF">
        <w:rPr>
          <w:sz w:val="24"/>
          <w:szCs w:val="24"/>
        </w:rPr>
        <w:t xml:space="preserve"> georreferenciamento consiste na obrigatoriedade da descrição do imóvel rural em seus limites, características, confrontações, por meio de memorial descritivo firmado por profissional habilitado, com a devida ART (Anotação de Responsabilidade Técnica), contendo as coordenadas dos vértices definidores dos limites dos imóveis rurais, georreferenciadas ao Sistema Geodésico Brasileiro e com precisão posicional a ser fixada pelo INCRA.</w:t>
      </w:r>
    </w:p>
    <w:p w14:paraId="043BB6E8" w14:textId="15A2D109" w:rsidR="00366ABF" w:rsidRDefault="004A72CB" w:rsidP="00ED5EC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Trata-se de </w:t>
      </w:r>
      <w:r w:rsidR="007E1DB0">
        <w:rPr>
          <w:sz w:val="24"/>
          <w:szCs w:val="24"/>
        </w:rPr>
        <w:t xml:space="preserve">uma identificação padronizada dos imóveis rurais, com coordenadas geográficas com precisão poligonal fixada pelo INCRA, </w:t>
      </w:r>
      <w:r w:rsidR="007E1DB0" w:rsidRPr="007E1DB0">
        <w:rPr>
          <w:sz w:val="24"/>
          <w:szCs w:val="24"/>
        </w:rPr>
        <w:t>defini</w:t>
      </w:r>
      <w:r w:rsidR="007E1DB0">
        <w:rPr>
          <w:sz w:val="24"/>
          <w:szCs w:val="24"/>
        </w:rPr>
        <w:t>ndo</w:t>
      </w:r>
      <w:r w:rsidR="007E1DB0" w:rsidRPr="007E1DB0">
        <w:rPr>
          <w:sz w:val="24"/>
          <w:szCs w:val="24"/>
        </w:rPr>
        <w:t xml:space="preserve"> as características referentes à dimensão e localização da propriedade</w:t>
      </w:r>
      <w:r w:rsidR="004D6A1F">
        <w:rPr>
          <w:sz w:val="24"/>
          <w:szCs w:val="24"/>
        </w:rPr>
        <w:t xml:space="preserve">. Os imóveis serão </w:t>
      </w:r>
      <w:r w:rsidR="007E1DB0" w:rsidRPr="007E1DB0">
        <w:rPr>
          <w:sz w:val="24"/>
          <w:szCs w:val="24"/>
        </w:rPr>
        <w:t>definido</w:t>
      </w:r>
      <w:r w:rsidR="004D6A1F">
        <w:rPr>
          <w:sz w:val="24"/>
          <w:szCs w:val="24"/>
        </w:rPr>
        <w:t>s</w:t>
      </w:r>
      <w:r w:rsidR="007E1DB0" w:rsidRPr="007E1DB0">
        <w:rPr>
          <w:sz w:val="24"/>
          <w:szCs w:val="24"/>
        </w:rPr>
        <w:t xml:space="preserve"> </w:t>
      </w:r>
      <w:r w:rsidR="004D6A1F">
        <w:rPr>
          <w:sz w:val="24"/>
          <w:szCs w:val="24"/>
        </w:rPr>
        <w:t>pelos</w:t>
      </w:r>
      <w:r w:rsidR="007E1DB0" w:rsidRPr="007E1DB0">
        <w:rPr>
          <w:sz w:val="24"/>
          <w:szCs w:val="24"/>
        </w:rPr>
        <w:t xml:space="preserve"> seus limites, características e confrontaç</w:t>
      </w:r>
      <w:r w:rsidR="004D6A1F">
        <w:rPr>
          <w:sz w:val="24"/>
          <w:szCs w:val="24"/>
        </w:rPr>
        <w:t>ões, que ocorre por meio</w:t>
      </w:r>
      <w:r w:rsidR="007E1DB0" w:rsidRPr="007E1DB0">
        <w:rPr>
          <w:sz w:val="24"/>
          <w:szCs w:val="24"/>
        </w:rPr>
        <w:t xml:space="preserve"> da descrição das coordenadas dos vértices limitantes referenciadas no Sistema Geodésico Brasileiro.</w:t>
      </w:r>
    </w:p>
    <w:p w14:paraId="1363DFD9" w14:textId="5E2C208D" w:rsidR="00B0649E" w:rsidRDefault="00B0649E" w:rsidP="00C10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Nosso principal parâmetro legislativo é </w:t>
      </w:r>
      <w:r w:rsidR="00867069">
        <w:rPr>
          <w:sz w:val="24"/>
          <w:szCs w:val="24"/>
        </w:rPr>
        <w:t xml:space="preserve">essencialmente </w:t>
      </w:r>
      <w:r>
        <w:rPr>
          <w:sz w:val="24"/>
          <w:szCs w:val="24"/>
        </w:rPr>
        <w:t xml:space="preserve">o </w:t>
      </w:r>
      <w:r w:rsidRPr="00B0649E">
        <w:rPr>
          <w:sz w:val="24"/>
          <w:szCs w:val="24"/>
        </w:rPr>
        <w:t>Decreto 4.449/02</w:t>
      </w:r>
      <w:r w:rsidR="00403F83">
        <w:rPr>
          <w:sz w:val="24"/>
          <w:szCs w:val="24"/>
        </w:rPr>
        <w:t xml:space="preserve"> e a</w:t>
      </w:r>
      <w:r>
        <w:rPr>
          <w:sz w:val="24"/>
          <w:szCs w:val="24"/>
        </w:rPr>
        <w:t xml:space="preserve"> Lei 6</w:t>
      </w:r>
      <w:r w:rsidR="003463AF">
        <w:rPr>
          <w:sz w:val="24"/>
          <w:szCs w:val="24"/>
        </w:rPr>
        <w:t>.</w:t>
      </w:r>
      <w:r>
        <w:rPr>
          <w:sz w:val="24"/>
          <w:szCs w:val="24"/>
        </w:rPr>
        <w:t>015/73, artigo 225, §3º.</w:t>
      </w:r>
    </w:p>
    <w:p w14:paraId="5BD19CC5" w14:textId="3C1FB67F" w:rsidR="00B0649E" w:rsidRPr="00B0649E" w:rsidRDefault="004A72CB" w:rsidP="00195BEA">
      <w:pPr>
        <w:jc w:val="both"/>
        <w:rPr>
          <w:sz w:val="24"/>
          <w:szCs w:val="24"/>
        </w:rPr>
      </w:pPr>
      <w:r>
        <w:rPr>
          <w:sz w:val="24"/>
          <w:szCs w:val="24"/>
        </w:rPr>
        <w:t>Atualmente</w:t>
      </w:r>
      <w:r w:rsidR="00B34D36" w:rsidRPr="00B13E88">
        <w:rPr>
          <w:sz w:val="24"/>
          <w:szCs w:val="24"/>
        </w:rPr>
        <w:t xml:space="preserve"> o geo</w:t>
      </w:r>
      <w:r w:rsidR="00DF62DF">
        <w:rPr>
          <w:sz w:val="24"/>
          <w:szCs w:val="24"/>
        </w:rPr>
        <w:t>rreferenciamento</w:t>
      </w:r>
      <w:r w:rsidR="00B34D36" w:rsidRPr="00B13E88">
        <w:rPr>
          <w:sz w:val="24"/>
          <w:szCs w:val="24"/>
        </w:rPr>
        <w:t xml:space="preserve"> é obrigatório para os imóveis com área superior a 100 </w:t>
      </w:r>
      <w:proofErr w:type="spellStart"/>
      <w:r w:rsidR="00B34D36" w:rsidRPr="00B13E88">
        <w:rPr>
          <w:sz w:val="24"/>
          <w:szCs w:val="24"/>
        </w:rPr>
        <w:t>h</w:t>
      </w:r>
      <w:r w:rsidR="00B13E88" w:rsidRPr="00B13E88">
        <w:rPr>
          <w:sz w:val="24"/>
          <w:szCs w:val="24"/>
        </w:rPr>
        <w:t>a</w:t>
      </w:r>
      <w:proofErr w:type="spellEnd"/>
      <w:r w:rsidR="00B34D36" w:rsidRPr="00B13E88">
        <w:rPr>
          <w:sz w:val="24"/>
          <w:szCs w:val="24"/>
        </w:rPr>
        <w:t xml:space="preserve"> (1.000.000m²)</w:t>
      </w:r>
      <w:r w:rsidR="00B13E88" w:rsidRPr="00B13E88">
        <w:rPr>
          <w:sz w:val="24"/>
          <w:szCs w:val="24"/>
        </w:rPr>
        <w:t>, conforme Lei 10.267/2001 e Decretos nº 4.449/2002, nº 5.570/2005, nº 9.311/2018 e Art. 5</w:t>
      </w:r>
      <w:r w:rsidR="00DF62DF">
        <w:rPr>
          <w:sz w:val="24"/>
          <w:szCs w:val="24"/>
        </w:rPr>
        <w:t>07</w:t>
      </w:r>
      <w:r w:rsidR="00B13E88" w:rsidRPr="00B13E88">
        <w:rPr>
          <w:sz w:val="24"/>
          <w:szCs w:val="24"/>
        </w:rPr>
        <w:t xml:space="preserve"> do CNCGJ/ES</w:t>
      </w:r>
      <w:r w:rsidR="00195BEA">
        <w:rPr>
          <w:sz w:val="24"/>
          <w:szCs w:val="24"/>
        </w:rPr>
        <w:t>.</w:t>
      </w:r>
      <w:r w:rsidR="003254BE">
        <w:rPr>
          <w:sz w:val="24"/>
          <w:szCs w:val="24"/>
        </w:rPr>
        <w:t xml:space="preserve"> Nesses casos</w:t>
      </w:r>
      <w:r w:rsidR="00195BEA">
        <w:rPr>
          <w:sz w:val="24"/>
          <w:szCs w:val="24"/>
        </w:rPr>
        <w:t>, é defeso ao Oficial de Registro de Imóveis registrar</w:t>
      </w:r>
      <w:r w:rsidR="00195BEA" w:rsidRPr="00195BEA">
        <w:rPr>
          <w:sz w:val="24"/>
          <w:szCs w:val="24"/>
        </w:rPr>
        <w:t xml:space="preserve"> desmembramento, parcelamento ou remembramento</w:t>
      </w:r>
      <w:r w:rsidR="00195BEA">
        <w:rPr>
          <w:sz w:val="24"/>
          <w:szCs w:val="24"/>
        </w:rPr>
        <w:t xml:space="preserve">, </w:t>
      </w:r>
      <w:r w:rsidR="00195BEA" w:rsidRPr="00195BEA">
        <w:rPr>
          <w:sz w:val="24"/>
          <w:szCs w:val="24"/>
        </w:rPr>
        <w:t>transferência de área total</w:t>
      </w:r>
      <w:r w:rsidR="008B7786">
        <w:rPr>
          <w:sz w:val="24"/>
          <w:szCs w:val="24"/>
        </w:rPr>
        <w:t>,</w:t>
      </w:r>
      <w:r w:rsidR="00195BEA" w:rsidRPr="00195BEA">
        <w:rPr>
          <w:sz w:val="24"/>
          <w:szCs w:val="24"/>
        </w:rPr>
        <w:t xml:space="preserve"> </w:t>
      </w:r>
      <w:r w:rsidR="00195BEA">
        <w:rPr>
          <w:sz w:val="24"/>
          <w:szCs w:val="24"/>
        </w:rPr>
        <w:t xml:space="preserve">e ainda a </w:t>
      </w:r>
      <w:r w:rsidR="00195BEA" w:rsidRPr="00195BEA">
        <w:rPr>
          <w:sz w:val="24"/>
          <w:szCs w:val="24"/>
        </w:rPr>
        <w:t>criação ou alteração da descrição do imóvel, resultante de qualquer procedimento judicial ou administrativo.</w:t>
      </w:r>
    </w:p>
    <w:p w14:paraId="504E4F7E" w14:textId="7534ADB6" w:rsidR="00B34D36" w:rsidRDefault="00B0649E" w:rsidP="00ED5EC2">
      <w:pPr>
        <w:jc w:val="both"/>
        <w:rPr>
          <w:b/>
          <w:bCs/>
          <w:sz w:val="24"/>
          <w:szCs w:val="24"/>
        </w:rPr>
      </w:pPr>
      <w:r w:rsidRPr="00B0649E">
        <w:rPr>
          <w:b/>
          <w:bCs/>
          <w:sz w:val="24"/>
          <w:szCs w:val="24"/>
        </w:rPr>
        <w:t>O QUE NÓS EXIGIMOS PARA O REGISTRO DO GEORREFERENCIAMENTO</w:t>
      </w:r>
    </w:p>
    <w:p w14:paraId="60978161" w14:textId="289F89C8" w:rsidR="00B0649E" w:rsidRPr="004A07AA" w:rsidRDefault="00B0649E" w:rsidP="00B0649E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B0649E">
        <w:rPr>
          <w:rFonts w:ascii="Calibri" w:eastAsia="Calibri" w:hAnsi="Calibri" w:cs="Times New Roman"/>
        </w:rPr>
        <w:t>O CCIR</w:t>
      </w:r>
      <w:r w:rsidR="002A15D3">
        <w:rPr>
          <w:rFonts w:ascii="Calibri" w:eastAsia="Calibri" w:hAnsi="Calibri" w:cs="Times New Roman"/>
        </w:rPr>
        <w:t xml:space="preserve"> 2020</w:t>
      </w:r>
      <w:r w:rsidRPr="00B0649E">
        <w:rPr>
          <w:rFonts w:ascii="Calibri" w:eastAsia="Calibri" w:hAnsi="Calibri" w:cs="Times New Roman"/>
        </w:rPr>
        <w:t xml:space="preserve"> (</w:t>
      </w:r>
      <w:r w:rsidR="004A07AA" w:rsidRPr="004A07AA">
        <w:rPr>
          <w:rFonts w:ascii="Calibri" w:eastAsia="Calibri" w:hAnsi="Calibri" w:cs="Times New Roman"/>
          <w:b/>
          <w:bCs/>
        </w:rPr>
        <w:t xml:space="preserve">Fundamentação: </w:t>
      </w:r>
      <w:r w:rsidRPr="004A07AA">
        <w:rPr>
          <w:rFonts w:ascii="Calibri" w:eastAsia="Calibri" w:hAnsi="Calibri" w:cs="Times New Roman"/>
          <w:b/>
          <w:bCs/>
        </w:rPr>
        <w:t xml:space="preserve">Art. 9°, § 5°, </w:t>
      </w:r>
      <w:bookmarkStart w:id="0" w:name="_Hlk31795068"/>
      <w:r w:rsidRPr="004A07AA">
        <w:rPr>
          <w:rFonts w:ascii="Calibri" w:eastAsia="Calibri" w:hAnsi="Calibri" w:cs="Times New Roman"/>
          <w:b/>
          <w:bCs/>
        </w:rPr>
        <w:t xml:space="preserve">do </w:t>
      </w:r>
      <w:bookmarkStart w:id="1" w:name="_Hlk31794695"/>
      <w:r w:rsidRPr="004A07AA">
        <w:rPr>
          <w:rFonts w:ascii="Calibri" w:eastAsia="Calibri" w:hAnsi="Calibri" w:cs="Times New Roman"/>
          <w:b/>
          <w:bCs/>
        </w:rPr>
        <w:t>Decreto 4.449/02</w:t>
      </w:r>
      <w:bookmarkEnd w:id="1"/>
      <w:r w:rsidR="004A07AA">
        <w:rPr>
          <w:rFonts w:ascii="Calibri" w:eastAsia="Calibri" w:hAnsi="Calibri" w:cs="Times New Roman"/>
        </w:rPr>
        <w:t>)</w:t>
      </w:r>
      <w:r w:rsidR="003254BE">
        <w:rPr>
          <w:rFonts w:ascii="Calibri" w:eastAsia="Calibri" w:hAnsi="Calibri" w:cs="Times New Roman"/>
        </w:rPr>
        <w:t>;</w:t>
      </w:r>
    </w:p>
    <w:bookmarkEnd w:id="0"/>
    <w:p w14:paraId="0B0E9DAB" w14:textId="69DF5A3D" w:rsidR="004A07AA" w:rsidRPr="004A07AA" w:rsidRDefault="004A07AA" w:rsidP="004A07AA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4A07AA">
        <w:rPr>
          <w:rFonts w:ascii="Calibri" w:eastAsia="Calibri" w:hAnsi="Calibri" w:cs="Times New Roman"/>
        </w:rPr>
        <w:t>O ITR do último</w:t>
      </w:r>
      <w:r w:rsidR="00B34D36">
        <w:rPr>
          <w:rFonts w:ascii="Calibri" w:eastAsia="Calibri" w:hAnsi="Calibri" w:cs="Times New Roman"/>
        </w:rPr>
        <w:t xml:space="preserve"> exercício (20</w:t>
      </w:r>
      <w:r w:rsidR="002A15D3">
        <w:rPr>
          <w:rFonts w:ascii="Calibri" w:eastAsia="Calibri" w:hAnsi="Calibri" w:cs="Times New Roman"/>
        </w:rPr>
        <w:t>20</w:t>
      </w:r>
      <w:r w:rsidR="00B34D36">
        <w:rPr>
          <w:rFonts w:ascii="Calibri" w:eastAsia="Calibri" w:hAnsi="Calibri" w:cs="Times New Roman"/>
        </w:rPr>
        <w:t>)</w:t>
      </w:r>
      <w:r w:rsidRPr="004A07AA">
        <w:rPr>
          <w:rFonts w:ascii="Calibri" w:eastAsia="Calibri" w:hAnsi="Calibri" w:cs="Times New Roman"/>
        </w:rPr>
        <w:t xml:space="preserve"> </w:t>
      </w:r>
      <w:r w:rsidRPr="004A07AA">
        <w:rPr>
          <w:rFonts w:ascii="Calibri" w:eastAsia="Calibri" w:hAnsi="Calibri" w:cs="Times New Roman"/>
          <w:b/>
          <w:bCs/>
        </w:rPr>
        <w:t>(Fundamentação: Art. 9°, §5°</w:t>
      </w:r>
      <w:r w:rsidRPr="004A07AA">
        <w:rPr>
          <w:b/>
          <w:bCs/>
        </w:rPr>
        <w:t xml:space="preserve"> </w:t>
      </w:r>
      <w:r w:rsidRPr="004A07AA">
        <w:rPr>
          <w:rFonts w:ascii="Calibri" w:eastAsia="Calibri" w:hAnsi="Calibri" w:cs="Times New Roman"/>
          <w:b/>
          <w:bCs/>
        </w:rPr>
        <w:t>do Decreto 4.449/02)</w:t>
      </w:r>
      <w:r>
        <w:rPr>
          <w:rFonts w:ascii="Calibri" w:eastAsia="Calibri" w:hAnsi="Calibri" w:cs="Times New Roman"/>
        </w:rPr>
        <w:t>;</w:t>
      </w:r>
    </w:p>
    <w:p w14:paraId="63D7CA50" w14:textId="76F32C6B" w:rsidR="004A07AA" w:rsidRPr="004A07AA" w:rsidRDefault="004A07AA" w:rsidP="00B0649E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4A07AA">
        <w:rPr>
          <w:rFonts w:ascii="Calibri" w:eastAsia="Calibri" w:hAnsi="Calibri" w:cs="Times New Roman"/>
        </w:rPr>
        <w:t>O memorial descritivo (</w:t>
      </w:r>
      <w:r w:rsidRPr="004A07AA">
        <w:rPr>
          <w:rFonts w:ascii="Calibri" w:eastAsia="Calibri" w:hAnsi="Calibri" w:cs="Times New Roman"/>
          <w:b/>
          <w:bCs/>
        </w:rPr>
        <w:t>Fundamentação: Art. 9°, § 5°, do Decreto 4.449/02</w:t>
      </w:r>
      <w:r w:rsidRPr="004A07AA">
        <w:rPr>
          <w:rFonts w:ascii="Calibri" w:eastAsia="Calibri" w:hAnsi="Calibri" w:cs="Times New Roman"/>
        </w:rPr>
        <w:t>);</w:t>
      </w:r>
    </w:p>
    <w:p w14:paraId="69FBEAD9" w14:textId="2D93E3FD" w:rsidR="004A07AA" w:rsidRPr="004A07AA" w:rsidRDefault="004A07AA" w:rsidP="00B0649E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4A07AA">
        <w:rPr>
          <w:rFonts w:ascii="Calibri" w:eastAsia="Calibri" w:hAnsi="Calibri" w:cs="Times New Roman"/>
        </w:rPr>
        <w:t xml:space="preserve">Planta, memorial descritivo e ART, assinado pelo profissional habilitado. </w:t>
      </w:r>
      <w:r w:rsidRPr="004A07AA">
        <w:rPr>
          <w:rFonts w:ascii="Calibri" w:eastAsia="Calibri" w:hAnsi="Calibri" w:cs="Times New Roman"/>
          <w:b/>
          <w:bCs/>
        </w:rPr>
        <w:t xml:space="preserve">(Fundamentação: Art. </w:t>
      </w:r>
      <w:r w:rsidR="00244D54">
        <w:rPr>
          <w:rFonts w:ascii="Calibri" w:eastAsia="Calibri" w:hAnsi="Calibri" w:cs="Times New Roman"/>
          <w:b/>
          <w:bCs/>
        </w:rPr>
        <w:t xml:space="preserve">507 </w:t>
      </w:r>
      <w:r w:rsidRPr="004A07AA">
        <w:rPr>
          <w:rFonts w:ascii="Calibri" w:eastAsia="Calibri" w:hAnsi="Calibri" w:cs="Times New Roman"/>
          <w:b/>
          <w:bCs/>
        </w:rPr>
        <w:t>do CNCGJ/ES)</w:t>
      </w:r>
      <w:r w:rsidRPr="004A07AA">
        <w:rPr>
          <w:rFonts w:ascii="Calibri" w:eastAsia="Calibri" w:hAnsi="Calibri" w:cs="Times New Roman"/>
        </w:rPr>
        <w:t>;</w:t>
      </w:r>
    </w:p>
    <w:p w14:paraId="4C7249CF" w14:textId="1215E32C" w:rsidR="004A07AA" w:rsidRPr="00BE4BFD" w:rsidRDefault="00BE4BFD" w:rsidP="00B0649E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BE4BFD">
        <w:rPr>
          <w:rFonts w:ascii="Calibri" w:eastAsia="Calibri" w:hAnsi="Calibri" w:cs="Times New Roman"/>
        </w:rPr>
        <w:t>CAR</w:t>
      </w:r>
      <w:r>
        <w:rPr>
          <w:rFonts w:ascii="Calibri" w:eastAsia="Calibri" w:hAnsi="Calibri" w:cs="Times New Roman"/>
        </w:rPr>
        <w:t xml:space="preserve">, caso </w:t>
      </w:r>
      <w:r w:rsidRPr="00BE4BFD">
        <w:rPr>
          <w:rFonts w:ascii="Calibri" w:eastAsia="Calibri" w:hAnsi="Calibri" w:cs="Times New Roman"/>
        </w:rPr>
        <w:t>não h</w:t>
      </w:r>
      <w:r>
        <w:rPr>
          <w:rFonts w:ascii="Calibri" w:eastAsia="Calibri" w:hAnsi="Calibri" w:cs="Times New Roman"/>
        </w:rPr>
        <w:t>aja</w:t>
      </w:r>
      <w:r w:rsidRPr="00BE4BFD">
        <w:rPr>
          <w:rFonts w:ascii="Calibri" w:eastAsia="Calibri" w:hAnsi="Calibri" w:cs="Times New Roman"/>
        </w:rPr>
        <w:t xml:space="preserve"> reserva legal averbada na matrícula</w:t>
      </w:r>
      <w:r>
        <w:rPr>
          <w:rFonts w:ascii="Calibri" w:eastAsia="Calibri" w:hAnsi="Calibri" w:cs="Times New Roman"/>
        </w:rPr>
        <w:t>.</w:t>
      </w:r>
      <w:r w:rsidRPr="00BE4BFD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(</w:t>
      </w:r>
      <w:r w:rsidRPr="00BE4BFD">
        <w:rPr>
          <w:rFonts w:ascii="Calibri" w:eastAsia="Calibri" w:hAnsi="Calibri" w:cs="Times New Roman"/>
          <w:b/>
          <w:bCs/>
        </w:rPr>
        <w:t>Fundamentação: Art. 14 do Decreto 3346-R/ES</w:t>
      </w:r>
      <w:r>
        <w:rPr>
          <w:rFonts w:ascii="Calibri" w:eastAsia="Calibri" w:hAnsi="Calibri" w:cs="Times New Roman"/>
        </w:rPr>
        <w:t>)</w:t>
      </w:r>
      <w:r w:rsidR="003254BE">
        <w:rPr>
          <w:rFonts w:ascii="Calibri" w:eastAsia="Calibri" w:hAnsi="Calibri" w:cs="Times New Roman"/>
        </w:rPr>
        <w:t>;</w:t>
      </w:r>
    </w:p>
    <w:p w14:paraId="3641577C" w14:textId="07549920" w:rsidR="00BE4BFD" w:rsidRPr="004B1891" w:rsidRDefault="00B34D36" w:rsidP="00B0649E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B34D36">
        <w:rPr>
          <w:rFonts w:ascii="Calibri" w:eastAsia="Calibri" w:hAnsi="Calibri" w:cs="Times New Roman"/>
        </w:rPr>
        <w:t>A certidão do INCRA de que a poligonal não se sobrepõe à outra (</w:t>
      </w:r>
      <w:r>
        <w:rPr>
          <w:rFonts w:ascii="Calibri" w:eastAsia="Calibri" w:hAnsi="Calibri" w:cs="Times New Roman"/>
        </w:rPr>
        <w:t xml:space="preserve">SIGEF-SISTEMA DE GESTÃO FUNDIÁRIA DO INCRA – </w:t>
      </w:r>
      <w:r w:rsidRPr="00B34D36">
        <w:rPr>
          <w:rFonts w:ascii="Calibri" w:eastAsia="Calibri" w:hAnsi="Calibri" w:cs="Times New Roman"/>
          <w:b/>
          <w:bCs/>
        </w:rPr>
        <w:t>Fundamentação: art. 2º da Instrução Normativa</w:t>
      </w:r>
      <w:r>
        <w:rPr>
          <w:rFonts w:ascii="Calibri" w:eastAsia="Calibri" w:hAnsi="Calibri" w:cs="Times New Roman"/>
        </w:rPr>
        <w:t xml:space="preserve"> </w:t>
      </w:r>
      <w:r w:rsidRPr="00B34D36">
        <w:rPr>
          <w:rFonts w:ascii="Calibri" w:eastAsia="Calibri" w:hAnsi="Calibri" w:cs="Times New Roman"/>
          <w:b/>
          <w:bCs/>
        </w:rPr>
        <w:t>77 do INCRA</w:t>
      </w:r>
      <w:r>
        <w:rPr>
          <w:rFonts w:ascii="Calibri" w:eastAsia="Calibri" w:hAnsi="Calibri" w:cs="Times New Roman"/>
        </w:rPr>
        <w:t>)</w:t>
      </w:r>
      <w:r w:rsidR="003254BE">
        <w:rPr>
          <w:rFonts w:ascii="Calibri" w:eastAsia="Calibri" w:hAnsi="Calibri" w:cs="Times New Roman"/>
        </w:rPr>
        <w:t>;</w:t>
      </w:r>
    </w:p>
    <w:p w14:paraId="282FF469" w14:textId="1E09AA80" w:rsidR="002857BA" w:rsidRPr="00946F71" w:rsidRDefault="004B1891" w:rsidP="002857BA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rFonts w:ascii="Calibri" w:eastAsia="Calibri" w:hAnsi="Calibri" w:cs="Times New Roman"/>
        </w:rPr>
        <w:t>A</w:t>
      </w:r>
      <w:r w:rsidR="00057940">
        <w:rPr>
          <w:rFonts w:ascii="Calibri" w:eastAsia="Calibri" w:hAnsi="Calibri" w:cs="Times New Roman"/>
        </w:rPr>
        <w:t>nuência</w:t>
      </w:r>
      <w:r>
        <w:rPr>
          <w:rFonts w:ascii="Calibri" w:eastAsia="Calibri" w:hAnsi="Calibri" w:cs="Times New Roman"/>
        </w:rPr>
        <w:t xml:space="preserve"> de todos os confrontantes com firma reconhecida</w:t>
      </w:r>
      <w:r w:rsidR="00057940">
        <w:rPr>
          <w:rFonts w:ascii="Calibri" w:eastAsia="Calibri" w:hAnsi="Calibri" w:cs="Times New Roman"/>
        </w:rPr>
        <w:t xml:space="preserve"> (</w:t>
      </w:r>
      <w:r w:rsidR="00057940">
        <w:t>de que os limites divisórios foram respeitados</w:t>
      </w:r>
      <w:r w:rsidR="0019053E">
        <w:t>).</w:t>
      </w:r>
      <w:r w:rsidR="00057940">
        <w:t xml:space="preserve"> </w:t>
      </w:r>
      <w:r w:rsidR="00057940" w:rsidRPr="003254BE">
        <w:rPr>
          <w:b/>
          <w:bCs/>
        </w:rPr>
        <w:t>(Art. 9°, § 6° do Decreto 4.449/02</w:t>
      </w:r>
      <w:r w:rsidR="003C5854">
        <w:rPr>
          <w:b/>
          <w:bCs/>
        </w:rPr>
        <w:t>; artigo 510 do Código de Normas da CGJES</w:t>
      </w:r>
      <w:r w:rsidR="00057940" w:rsidRPr="003254BE">
        <w:rPr>
          <w:b/>
          <w:bCs/>
        </w:rPr>
        <w:t>);</w:t>
      </w:r>
    </w:p>
    <w:p w14:paraId="5AA0C00E" w14:textId="329BF1A3" w:rsidR="00946F71" w:rsidRPr="00991A8C" w:rsidRDefault="005158FF" w:rsidP="002857BA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t xml:space="preserve">Declaração firmada sob pena de responsabilidade civil e criminal, com firma reconhecida, de que não houve alteração das divisas do imóvel registrado e de que foram respeitados os direitos dos confrontantes </w:t>
      </w:r>
      <w:r w:rsidRPr="005158FF">
        <w:rPr>
          <w:b/>
          <w:bCs/>
        </w:rPr>
        <w:t>(art. 9°, § 5° do Decreto 4.449/02);</w:t>
      </w:r>
    </w:p>
    <w:p w14:paraId="73C3B8A9" w14:textId="3A041CF0" w:rsidR="005158FF" w:rsidRDefault="008B0DBF" w:rsidP="00991A8C">
      <w:pPr>
        <w:pStyle w:val="PargrafodaLista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991A8C">
        <w:rPr>
          <w:sz w:val="24"/>
          <w:szCs w:val="24"/>
        </w:rPr>
        <w:lastRenderedPageBreak/>
        <w:t>Cópia autenticada dos documentos pessoais dos proprietários</w:t>
      </w:r>
      <w:r w:rsidR="008573FD">
        <w:rPr>
          <w:sz w:val="24"/>
          <w:szCs w:val="24"/>
        </w:rPr>
        <w:t xml:space="preserve">. </w:t>
      </w:r>
      <w:r w:rsidR="008573FD" w:rsidRPr="008573FD">
        <w:rPr>
          <w:b/>
          <w:bCs/>
          <w:sz w:val="24"/>
          <w:szCs w:val="24"/>
        </w:rPr>
        <w:t>(</w:t>
      </w:r>
      <w:r w:rsidR="008573FD" w:rsidRPr="008573FD">
        <w:rPr>
          <w:b/>
          <w:bCs/>
          <w:sz w:val="24"/>
          <w:szCs w:val="24"/>
        </w:rPr>
        <w:t>Art. 167, II-5, Art. 176, § 1º, II, 4-a, Art. 213, I-g e 246 da Lei 6.015/73)</w:t>
      </w:r>
      <w:r w:rsidRPr="008573FD">
        <w:rPr>
          <w:b/>
          <w:bCs/>
          <w:sz w:val="24"/>
          <w:szCs w:val="24"/>
        </w:rPr>
        <w:t>.</w:t>
      </w:r>
    </w:p>
    <w:p w14:paraId="4AD6F6CF" w14:textId="33C731F3" w:rsidR="00E93DCA" w:rsidRDefault="00E93DCA" w:rsidP="00E93DCA">
      <w:pPr>
        <w:pStyle w:val="PargrafodaLista"/>
        <w:jc w:val="both"/>
        <w:rPr>
          <w:b/>
          <w:bCs/>
          <w:sz w:val="24"/>
          <w:szCs w:val="24"/>
        </w:rPr>
      </w:pPr>
    </w:p>
    <w:p w14:paraId="7BD40D71" w14:textId="1114A3E9" w:rsidR="00E93DCA" w:rsidRDefault="00E93DCA" w:rsidP="00E93DCA">
      <w:pPr>
        <w:pStyle w:val="PargrafodaLista"/>
        <w:jc w:val="both"/>
        <w:rPr>
          <w:b/>
          <w:bCs/>
          <w:sz w:val="24"/>
          <w:szCs w:val="24"/>
        </w:rPr>
      </w:pPr>
    </w:p>
    <w:p w14:paraId="5FE0DEDC" w14:textId="466FFCA3" w:rsidR="00E93DCA" w:rsidRPr="00E93DCA" w:rsidRDefault="00E93DCA" w:rsidP="00E93DCA">
      <w:pPr>
        <w:pStyle w:val="PargrafodaLista"/>
        <w:jc w:val="both"/>
        <w:rPr>
          <w:sz w:val="24"/>
          <w:szCs w:val="24"/>
        </w:rPr>
      </w:pPr>
      <w:r w:rsidRPr="00E93DCA">
        <w:rPr>
          <w:sz w:val="24"/>
          <w:szCs w:val="24"/>
        </w:rPr>
        <w:t>Atenciosamente,</w:t>
      </w:r>
    </w:p>
    <w:p w14:paraId="513BCBA3" w14:textId="7DFFFE8F" w:rsidR="00E93DCA" w:rsidRDefault="00E93DCA" w:rsidP="00E93DCA">
      <w:pPr>
        <w:pStyle w:val="PargrafodaLista"/>
        <w:jc w:val="both"/>
        <w:rPr>
          <w:b/>
          <w:bCs/>
          <w:sz w:val="24"/>
          <w:szCs w:val="24"/>
        </w:rPr>
      </w:pPr>
    </w:p>
    <w:p w14:paraId="60D5A5B0" w14:textId="00D5B571" w:rsidR="00E93DCA" w:rsidRDefault="00E93DCA" w:rsidP="00E93DCA">
      <w:pPr>
        <w:pStyle w:val="PargrafodaLista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ADRIANA LUCIA DE SOUZA</w:t>
      </w:r>
    </w:p>
    <w:p w14:paraId="219E5957" w14:textId="2596BB02" w:rsidR="00E93DCA" w:rsidRPr="008573FD" w:rsidRDefault="00E93DCA" w:rsidP="00E93DCA">
      <w:pPr>
        <w:pStyle w:val="PargrafodaLista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Oficiala Titular</w:t>
      </w:r>
    </w:p>
    <w:sectPr w:rsidR="00E93DCA" w:rsidRPr="008573FD" w:rsidSect="004A07AA">
      <w:headerReference w:type="default" r:id="rId8"/>
      <w:footerReference w:type="default" r:id="rId9"/>
      <w:pgSz w:w="11906" w:h="16838"/>
      <w:pgMar w:top="1701" w:right="1134" w:bottom="1134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91BD8" w14:textId="77777777" w:rsidR="003B251A" w:rsidRDefault="003B251A" w:rsidP="00531955">
      <w:pPr>
        <w:spacing w:after="0" w:line="240" w:lineRule="auto"/>
      </w:pPr>
      <w:r>
        <w:separator/>
      </w:r>
    </w:p>
  </w:endnote>
  <w:endnote w:type="continuationSeparator" w:id="0">
    <w:p w14:paraId="6271C682" w14:textId="77777777" w:rsidR="003B251A" w:rsidRDefault="003B251A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0F97F" w14:textId="77777777" w:rsidR="007E1DB0" w:rsidRDefault="007E1DB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03291F82" wp14:editId="5BAA7B71">
          <wp:simplePos x="0" y="0"/>
          <wp:positionH relativeFrom="margin">
            <wp:posOffset>-557530</wp:posOffset>
          </wp:positionH>
          <wp:positionV relativeFrom="margin">
            <wp:posOffset>8812530</wp:posOffset>
          </wp:positionV>
          <wp:extent cx="6515460" cy="252000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46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4CD049B7" w14:textId="77777777" w:rsidR="007E1DB0" w:rsidRDefault="007E1DB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5B674" w14:textId="77777777" w:rsidR="003B251A" w:rsidRDefault="003B251A" w:rsidP="00531955">
      <w:pPr>
        <w:spacing w:after="0" w:line="240" w:lineRule="auto"/>
      </w:pPr>
      <w:r>
        <w:separator/>
      </w:r>
    </w:p>
  </w:footnote>
  <w:footnote w:type="continuationSeparator" w:id="0">
    <w:p w14:paraId="05BD1174" w14:textId="77777777" w:rsidR="003B251A" w:rsidRDefault="003B251A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7E1DB0" w:rsidRDefault="007E1DB0">
    <w:pPr>
      <w:pStyle w:val="Cabealho"/>
    </w:pPr>
    <w:r>
      <w:rPr>
        <w:noProof/>
        <w:lang w:eastAsia="pt-BR"/>
      </w:rPr>
      <w:drawing>
        <wp:inline distT="0" distB="0" distL="0" distR="0" wp14:anchorId="165436BB" wp14:editId="4B33E718">
          <wp:extent cx="5380990" cy="1019175"/>
          <wp:effectExtent l="133350" t="114300" r="143510" b="14287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0990" cy="10191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4B7A12"/>
    <w:multiLevelType w:val="hybridMultilevel"/>
    <w:tmpl w:val="9BE07B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57940"/>
    <w:rsid w:val="0019053E"/>
    <w:rsid w:val="00195BEA"/>
    <w:rsid w:val="001B0594"/>
    <w:rsid w:val="00244D54"/>
    <w:rsid w:val="002857BA"/>
    <w:rsid w:val="002A15D3"/>
    <w:rsid w:val="002B149F"/>
    <w:rsid w:val="003254BE"/>
    <w:rsid w:val="003463AF"/>
    <w:rsid w:val="00366ABF"/>
    <w:rsid w:val="003B251A"/>
    <w:rsid w:val="003C5854"/>
    <w:rsid w:val="003E65D3"/>
    <w:rsid w:val="00403F83"/>
    <w:rsid w:val="004A07AA"/>
    <w:rsid w:val="004A72CB"/>
    <w:rsid w:val="004B1891"/>
    <w:rsid w:val="004D6A1F"/>
    <w:rsid w:val="005158FF"/>
    <w:rsid w:val="00531955"/>
    <w:rsid w:val="007E1DB0"/>
    <w:rsid w:val="00833F87"/>
    <w:rsid w:val="008573FD"/>
    <w:rsid w:val="00867069"/>
    <w:rsid w:val="008B0DBF"/>
    <w:rsid w:val="008B7786"/>
    <w:rsid w:val="008C792D"/>
    <w:rsid w:val="008E4436"/>
    <w:rsid w:val="00903FDC"/>
    <w:rsid w:val="00940B58"/>
    <w:rsid w:val="00946F71"/>
    <w:rsid w:val="00991A8C"/>
    <w:rsid w:val="009D0F01"/>
    <w:rsid w:val="00A02583"/>
    <w:rsid w:val="00B0649E"/>
    <w:rsid w:val="00B13E88"/>
    <w:rsid w:val="00B34D36"/>
    <w:rsid w:val="00B631DE"/>
    <w:rsid w:val="00BE4BFD"/>
    <w:rsid w:val="00C108C7"/>
    <w:rsid w:val="00CF3FF3"/>
    <w:rsid w:val="00DF62DF"/>
    <w:rsid w:val="00E93DCA"/>
    <w:rsid w:val="00EB47DB"/>
    <w:rsid w:val="00ED5EC2"/>
    <w:rsid w:val="00FD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064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32385-ADD2-402B-8F33-C7B726A66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2</cp:revision>
  <dcterms:created xsi:type="dcterms:W3CDTF">2020-12-01T09:36:00Z</dcterms:created>
  <dcterms:modified xsi:type="dcterms:W3CDTF">2020-12-01T09:36:00Z</dcterms:modified>
</cp:coreProperties>
</file>